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BD" w:rsidRPr="004C594B" w:rsidRDefault="00D87ABD" w:rsidP="00D87ABD">
      <w:pPr>
        <w:rPr>
          <w:rFonts w:ascii="Arial" w:hAnsi="Arial" w:cs="Arial"/>
          <w:b/>
        </w:rPr>
      </w:pPr>
      <w:r w:rsidRPr="004C594B">
        <w:rPr>
          <w:rFonts w:ascii="Arial" w:hAnsi="Arial" w:cs="Arial"/>
          <w:bCs/>
          <w:sz w:val="18"/>
          <w:szCs w:val="18"/>
        </w:rPr>
        <w:t>Financial Bid – Hiring of premises</w:t>
      </w:r>
      <w:r w:rsidRPr="004C594B">
        <w:rPr>
          <w:rFonts w:ascii="Arial" w:hAnsi="Arial" w:cs="Arial"/>
          <w:b/>
        </w:rPr>
        <w:t xml:space="preserve"> </w:t>
      </w:r>
    </w:p>
    <w:p w:rsidR="00D87ABD" w:rsidRPr="004C594B" w:rsidRDefault="00D87ABD" w:rsidP="00D87ABD">
      <w:pPr>
        <w:jc w:val="right"/>
        <w:rPr>
          <w:rFonts w:ascii="Arial" w:hAnsi="Arial" w:cs="Arial"/>
          <w:b/>
        </w:rPr>
      </w:pPr>
    </w:p>
    <w:p w:rsidR="00D87ABD" w:rsidRPr="004C594B" w:rsidRDefault="00D87ABD" w:rsidP="00D87ABD">
      <w:pPr>
        <w:jc w:val="right"/>
        <w:rPr>
          <w:rFonts w:ascii="Arial" w:hAnsi="Arial" w:cs="Arial"/>
          <w:b/>
        </w:rPr>
      </w:pPr>
      <w:r w:rsidRPr="004C594B">
        <w:rPr>
          <w:rFonts w:ascii="Arial" w:hAnsi="Arial" w:cs="Arial"/>
          <w:b/>
        </w:rPr>
        <w:t>Appendix-</w:t>
      </w:r>
      <w:r>
        <w:rPr>
          <w:rFonts w:ascii="Arial" w:hAnsi="Arial" w:cs="Arial"/>
          <w:b/>
        </w:rPr>
        <w:t>G</w:t>
      </w:r>
      <w:r w:rsidRPr="004C594B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</w:p>
    <w:tbl>
      <w:tblPr>
        <w:tblStyle w:val="TableGrid"/>
        <w:tblW w:w="9651" w:type="dxa"/>
        <w:tblLook w:val="04A0"/>
      </w:tblPr>
      <w:tblGrid>
        <w:gridCol w:w="3193"/>
        <w:gridCol w:w="6458"/>
      </w:tblGrid>
      <w:tr w:rsidR="00FA59D1" w:rsidTr="00FF300A">
        <w:trPr>
          <w:trHeight w:val="1274"/>
        </w:trPr>
        <w:tc>
          <w:tcPr>
            <w:tcW w:w="3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59D1" w:rsidRDefault="00FA59D1">
            <w:pPr>
              <w:pStyle w:val="NoSpacing"/>
              <w:rPr>
                <w:noProof/>
              </w:rPr>
            </w:pPr>
          </w:p>
          <w:p w:rsidR="00FA59D1" w:rsidRDefault="00FA59D1">
            <w:pPr>
              <w:pStyle w:val="NoSpacing"/>
            </w:pPr>
            <w:r>
              <w:rPr>
                <w:noProof/>
              </w:rPr>
              <w:drawing>
                <wp:inline distT="0" distB="0" distL="0" distR="0">
                  <wp:extent cx="1714500" cy="91440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59D1" w:rsidRPr="00FF300A" w:rsidRDefault="00FA59D1">
            <w:pPr>
              <w:pStyle w:val="NoSpacing"/>
              <w:rPr>
                <w:sz w:val="28"/>
                <w:szCs w:val="28"/>
              </w:rPr>
            </w:pPr>
            <w:r w:rsidRPr="00FF300A">
              <w:rPr>
                <w:sz w:val="28"/>
                <w:szCs w:val="28"/>
              </w:rPr>
              <w:t>OS/Estates department</w:t>
            </w:r>
          </w:p>
          <w:p w:rsidR="00FA59D1" w:rsidRPr="00FF300A" w:rsidRDefault="00FA59D1">
            <w:pPr>
              <w:pStyle w:val="NoSpacing"/>
              <w:rPr>
                <w:sz w:val="28"/>
                <w:szCs w:val="28"/>
              </w:rPr>
            </w:pPr>
            <w:r w:rsidRPr="00FF300A">
              <w:rPr>
                <w:sz w:val="28"/>
                <w:szCs w:val="28"/>
              </w:rPr>
              <w:t>Divisional Office -1, P.B. No. 6694,  II floor,</w:t>
            </w:r>
          </w:p>
          <w:p w:rsidR="00FA59D1" w:rsidRPr="00FF300A" w:rsidRDefault="00FA59D1">
            <w:pPr>
              <w:pStyle w:val="NoSpacing"/>
              <w:rPr>
                <w:sz w:val="28"/>
                <w:szCs w:val="28"/>
              </w:rPr>
            </w:pPr>
            <w:proofErr w:type="spellStart"/>
            <w:r w:rsidRPr="00FF300A">
              <w:rPr>
                <w:sz w:val="28"/>
                <w:szCs w:val="28"/>
              </w:rPr>
              <w:t>Jeevan</w:t>
            </w:r>
            <w:proofErr w:type="spellEnd"/>
            <w:r w:rsidRPr="00FF300A">
              <w:rPr>
                <w:sz w:val="28"/>
                <w:szCs w:val="28"/>
              </w:rPr>
              <w:t xml:space="preserve"> </w:t>
            </w:r>
            <w:proofErr w:type="spellStart"/>
            <w:r w:rsidRPr="00FF300A">
              <w:rPr>
                <w:sz w:val="28"/>
                <w:szCs w:val="28"/>
              </w:rPr>
              <w:t>Prakash</w:t>
            </w:r>
            <w:proofErr w:type="spellEnd"/>
            <w:r w:rsidRPr="00FF300A">
              <w:rPr>
                <w:sz w:val="28"/>
                <w:szCs w:val="28"/>
              </w:rPr>
              <w:t xml:space="preserve"> Building,  J.C. Road, </w:t>
            </w:r>
          </w:p>
          <w:p w:rsidR="00FA59D1" w:rsidRDefault="00274F00">
            <w:r>
              <w:rPr>
                <w:sz w:val="28"/>
                <w:szCs w:val="28"/>
              </w:rPr>
              <w:t>BENGALURU</w:t>
            </w:r>
            <w:r w:rsidR="00FA59D1" w:rsidRPr="00FF300A">
              <w:rPr>
                <w:sz w:val="28"/>
                <w:szCs w:val="28"/>
              </w:rPr>
              <w:t xml:space="preserve"> 560 002  Phone 22966509</w:t>
            </w:r>
          </w:p>
        </w:tc>
      </w:tr>
    </w:tbl>
    <w:p w:rsidR="00D87ABD" w:rsidRPr="004C594B" w:rsidRDefault="00D87ABD" w:rsidP="00FF300A">
      <w:pPr>
        <w:jc w:val="center"/>
        <w:rPr>
          <w:rFonts w:ascii="Arial" w:hAnsi="Arial" w:cs="Tahoma"/>
          <w:bCs/>
          <w:sz w:val="20"/>
        </w:rPr>
      </w:pPr>
      <w:r w:rsidRPr="004C594B">
        <w:rPr>
          <w:rFonts w:ascii="Arial" w:hAnsi="Arial" w:cs="Tahoma"/>
          <w:b/>
          <w:sz w:val="20"/>
          <w:u w:val="single"/>
        </w:rPr>
        <w:t xml:space="preserve">Financial Bid </w:t>
      </w:r>
      <w:r w:rsidR="00066221">
        <w:rPr>
          <w:rFonts w:ascii="Arial" w:hAnsi="Arial" w:cs="Tahoma"/>
          <w:b/>
          <w:sz w:val="20"/>
          <w:u w:val="single"/>
        </w:rPr>
        <w:t xml:space="preserve">SATELLITE OFFICE:  </w:t>
      </w:r>
      <w:r w:rsidR="00861625">
        <w:rPr>
          <w:rFonts w:ascii="Arial" w:hAnsi="Arial" w:cs="Tahoma"/>
          <w:b/>
          <w:sz w:val="20"/>
          <w:u w:val="single"/>
        </w:rPr>
        <w:t>VIDHYARANYAPURA</w:t>
      </w:r>
    </w:p>
    <w:p w:rsidR="00D87ABD" w:rsidRPr="004C594B" w:rsidRDefault="00D87ABD" w:rsidP="00D87ABD">
      <w:pPr>
        <w:jc w:val="center"/>
        <w:rPr>
          <w:rFonts w:ascii="Arial" w:hAnsi="Arial" w:cs="Arial"/>
          <w:bCs/>
          <w:sz w:val="20"/>
        </w:rPr>
      </w:pPr>
      <w:r w:rsidRPr="004C594B">
        <w:rPr>
          <w:rFonts w:ascii="Arial" w:hAnsi="Arial" w:cs="Arial"/>
          <w:bCs/>
          <w:sz w:val="20"/>
        </w:rPr>
        <w:t>(The rate quoted shall be excluding stamp duty and registration charges)</w:t>
      </w:r>
    </w:p>
    <w:p w:rsidR="00D87ABD" w:rsidRPr="004C594B" w:rsidRDefault="00D87ABD" w:rsidP="00D87ABD">
      <w:pPr>
        <w:rPr>
          <w:rFonts w:ascii="Arial" w:hAnsi="Arial" w:cs="Arial"/>
          <w:bCs/>
          <w:sz w:val="20"/>
        </w:rPr>
      </w:pPr>
    </w:p>
    <w:p w:rsidR="00D87ABD" w:rsidRPr="004C594B" w:rsidRDefault="00D87ABD" w:rsidP="00D87ABD">
      <w:pPr>
        <w:rPr>
          <w:rFonts w:ascii="Arial" w:hAnsi="Arial" w:cs="Arial"/>
          <w:bCs/>
          <w:sz w:val="20"/>
        </w:rPr>
      </w:pPr>
      <w:r w:rsidRPr="004C594B">
        <w:rPr>
          <w:rFonts w:ascii="Arial" w:hAnsi="Arial" w:cs="Arial"/>
          <w:bCs/>
          <w:sz w:val="20"/>
        </w:rPr>
        <w:t>Name of the Owner/ Vendor/ Firm: ……………………………………………………………</w:t>
      </w:r>
    </w:p>
    <w:p w:rsidR="00D87ABD" w:rsidRPr="004C594B" w:rsidRDefault="00D87ABD" w:rsidP="00D87ABD">
      <w:pPr>
        <w:rPr>
          <w:rFonts w:ascii="Arial" w:hAnsi="Arial" w:cs="Arial"/>
          <w:bCs/>
          <w:sz w:val="20"/>
        </w:rPr>
      </w:pPr>
      <w:r w:rsidRPr="004C594B">
        <w:rPr>
          <w:rFonts w:ascii="Arial" w:hAnsi="Arial" w:cs="Arial"/>
          <w:bCs/>
          <w:sz w:val="20"/>
        </w:rPr>
        <w:t>Reference No.</w:t>
      </w:r>
      <w:proofErr w:type="gramStart"/>
      <w:r w:rsidRPr="004C594B">
        <w:rPr>
          <w:rFonts w:ascii="Arial" w:hAnsi="Arial" w:cs="Arial"/>
          <w:bCs/>
          <w:sz w:val="20"/>
        </w:rPr>
        <w:t>:…………………………………. ……………………………………………….</w:t>
      </w:r>
      <w:proofErr w:type="gramEnd"/>
    </w:p>
    <w:p w:rsidR="00D87ABD" w:rsidRPr="004C594B" w:rsidRDefault="00D87ABD" w:rsidP="00D87ABD">
      <w:pPr>
        <w:rPr>
          <w:rFonts w:ascii="Arial" w:hAnsi="Arial" w:cs="Arial"/>
          <w:bCs/>
          <w:sz w:val="20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70"/>
        <w:gridCol w:w="940"/>
        <w:gridCol w:w="688"/>
        <w:gridCol w:w="1726"/>
        <w:gridCol w:w="1540"/>
        <w:gridCol w:w="2034"/>
        <w:gridCol w:w="1121"/>
        <w:gridCol w:w="1039"/>
      </w:tblGrid>
      <w:tr w:rsidR="00D87ABD" w:rsidRPr="0015312C" w:rsidTr="00676D24">
        <w:tc>
          <w:tcPr>
            <w:tcW w:w="470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Sr.</w:t>
            </w:r>
          </w:p>
        </w:tc>
        <w:tc>
          <w:tcPr>
            <w:tcW w:w="940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Details of the property</w:t>
            </w:r>
          </w:p>
        </w:tc>
        <w:tc>
          <w:tcPr>
            <w:tcW w:w="688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Floor Level</w:t>
            </w:r>
          </w:p>
        </w:tc>
        <w:tc>
          <w:tcPr>
            <w:tcW w:w="1726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Carpet area of the premises offered (</w:t>
            </w:r>
            <w:proofErr w:type="spellStart"/>
            <w:r w:rsidRPr="0015312C">
              <w:rPr>
                <w:rFonts w:ascii="Arial" w:hAnsi="Arial" w:cs="Arial"/>
                <w:bCs/>
                <w:sz w:val="18"/>
                <w:szCs w:val="18"/>
              </w:rPr>
              <w:t>sq.ft</w:t>
            </w:r>
            <w:proofErr w:type="spellEnd"/>
            <w:r w:rsidRPr="0015312C">
              <w:rPr>
                <w:rFonts w:ascii="Arial" w:hAnsi="Arial" w:cs="Arial"/>
                <w:bCs/>
                <w:sz w:val="18"/>
                <w:szCs w:val="18"/>
              </w:rPr>
              <w:t>.)</w:t>
            </w:r>
          </w:p>
        </w:tc>
        <w:tc>
          <w:tcPr>
            <w:tcW w:w="1540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 xml:space="preserve">Basic rent per </w:t>
            </w:r>
            <w:proofErr w:type="spellStart"/>
            <w:r w:rsidRPr="0015312C">
              <w:rPr>
                <w:rFonts w:ascii="Arial" w:hAnsi="Arial" w:cs="Arial"/>
                <w:bCs/>
                <w:sz w:val="18"/>
                <w:szCs w:val="18"/>
              </w:rPr>
              <w:t>sq.ft</w:t>
            </w:r>
            <w:proofErr w:type="spellEnd"/>
            <w:r w:rsidRPr="0015312C">
              <w:rPr>
                <w:rFonts w:ascii="Arial" w:hAnsi="Arial" w:cs="Arial"/>
                <w:bCs/>
                <w:sz w:val="18"/>
                <w:szCs w:val="18"/>
              </w:rPr>
              <w:t>. of carpet area (in figure and words)</w:t>
            </w:r>
          </w:p>
        </w:tc>
        <w:tc>
          <w:tcPr>
            <w:tcW w:w="2034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Outgoes</w:t>
            </w:r>
          </w:p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Such as Municipal tax, Hous</w:t>
            </w:r>
            <w:r w:rsidR="001F0BA7">
              <w:rPr>
                <w:rFonts w:ascii="Arial" w:hAnsi="Arial" w:cs="Arial"/>
                <w:bCs/>
                <w:sz w:val="18"/>
                <w:szCs w:val="18"/>
              </w:rPr>
              <w:t xml:space="preserve">e tax, Property tax, </w:t>
            </w:r>
            <w:r w:rsidRPr="0015312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5312C">
              <w:rPr>
                <w:rFonts w:ascii="Arial" w:hAnsi="Arial" w:cs="Arial"/>
                <w:bCs/>
                <w:sz w:val="18"/>
                <w:szCs w:val="18"/>
              </w:rPr>
              <w:t>cess</w:t>
            </w:r>
            <w:proofErr w:type="spellEnd"/>
            <w:r w:rsidRPr="0015312C">
              <w:rPr>
                <w:rFonts w:ascii="Arial" w:hAnsi="Arial" w:cs="Arial"/>
                <w:bCs/>
                <w:sz w:val="18"/>
                <w:szCs w:val="18"/>
              </w:rPr>
              <w:t xml:space="preserve"> and/ or any other levy and proportionate amount of Maintenance charges (Society charges, if any) etc per </w:t>
            </w:r>
            <w:proofErr w:type="spellStart"/>
            <w:r w:rsidRPr="0015312C">
              <w:rPr>
                <w:rFonts w:ascii="Arial" w:hAnsi="Arial" w:cs="Arial"/>
                <w:bCs/>
                <w:sz w:val="18"/>
                <w:szCs w:val="18"/>
              </w:rPr>
              <w:t>sq.ft</w:t>
            </w:r>
            <w:proofErr w:type="spellEnd"/>
            <w:r w:rsidRPr="0015312C">
              <w:rPr>
                <w:rFonts w:ascii="Arial" w:hAnsi="Arial" w:cs="Arial"/>
                <w:bCs/>
                <w:sz w:val="18"/>
                <w:szCs w:val="18"/>
              </w:rPr>
              <w:t>. of carpet area</w:t>
            </w:r>
          </w:p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(Rs. in figure and words)</w:t>
            </w:r>
          </w:p>
        </w:tc>
        <w:tc>
          <w:tcPr>
            <w:tcW w:w="1121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 xml:space="preserve">Gross rent per </w:t>
            </w:r>
            <w:proofErr w:type="spellStart"/>
            <w:r w:rsidRPr="0015312C">
              <w:rPr>
                <w:rFonts w:ascii="Arial" w:hAnsi="Arial" w:cs="Arial"/>
                <w:bCs/>
                <w:sz w:val="18"/>
                <w:szCs w:val="18"/>
              </w:rPr>
              <w:t>Sq.ft</w:t>
            </w:r>
            <w:proofErr w:type="spellEnd"/>
            <w:r w:rsidRPr="0015312C">
              <w:rPr>
                <w:rFonts w:ascii="Arial" w:hAnsi="Arial" w:cs="Arial"/>
                <w:bCs/>
                <w:sz w:val="18"/>
                <w:szCs w:val="18"/>
              </w:rPr>
              <w:t>. of carpet area</w:t>
            </w:r>
          </w:p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(Rs. in figure and words)</w:t>
            </w:r>
          </w:p>
        </w:tc>
        <w:tc>
          <w:tcPr>
            <w:tcW w:w="1039" w:type="dxa"/>
            <w:vAlign w:val="center"/>
          </w:tcPr>
          <w:p w:rsidR="00D87ABD" w:rsidRPr="0015312C" w:rsidRDefault="00D87ABD" w:rsidP="005A08BF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5312C">
              <w:rPr>
                <w:rFonts w:ascii="Arial" w:hAnsi="Arial" w:cs="Arial"/>
                <w:bCs/>
                <w:sz w:val="18"/>
                <w:szCs w:val="18"/>
              </w:rPr>
              <w:t>Total Gross Rent</w:t>
            </w:r>
          </w:p>
        </w:tc>
      </w:tr>
      <w:tr w:rsidR="00D87ABD" w:rsidRPr="0015312C" w:rsidTr="00676D24">
        <w:tc>
          <w:tcPr>
            <w:tcW w:w="47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(1)</w:t>
            </w:r>
          </w:p>
        </w:tc>
        <w:tc>
          <w:tcPr>
            <w:tcW w:w="940" w:type="dxa"/>
          </w:tcPr>
          <w:p w:rsidR="00D87ABD" w:rsidRPr="0015312C" w:rsidRDefault="00D87ABD" w:rsidP="005A08BF">
            <w:pPr>
              <w:jc w:val="center"/>
              <w:rPr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(2)</w:t>
            </w:r>
          </w:p>
        </w:tc>
        <w:tc>
          <w:tcPr>
            <w:tcW w:w="688" w:type="dxa"/>
          </w:tcPr>
          <w:p w:rsidR="00D87ABD" w:rsidRPr="0015312C" w:rsidRDefault="00D87ABD" w:rsidP="005A08BF">
            <w:pPr>
              <w:jc w:val="center"/>
              <w:rPr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(3)</w:t>
            </w:r>
          </w:p>
        </w:tc>
        <w:tc>
          <w:tcPr>
            <w:tcW w:w="1726" w:type="dxa"/>
          </w:tcPr>
          <w:p w:rsidR="00D87ABD" w:rsidRPr="0015312C" w:rsidRDefault="00D87ABD" w:rsidP="005A08BF">
            <w:pPr>
              <w:jc w:val="center"/>
              <w:rPr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(4)</w:t>
            </w:r>
          </w:p>
        </w:tc>
        <w:tc>
          <w:tcPr>
            <w:tcW w:w="1540" w:type="dxa"/>
          </w:tcPr>
          <w:p w:rsidR="00D87ABD" w:rsidRPr="0015312C" w:rsidRDefault="00D87ABD" w:rsidP="005A08BF">
            <w:pPr>
              <w:jc w:val="center"/>
              <w:rPr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(5)</w:t>
            </w:r>
          </w:p>
        </w:tc>
        <w:tc>
          <w:tcPr>
            <w:tcW w:w="2034" w:type="dxa"/>
          </w:tcPr>
          <w:p w:rsidR="00D87ABD" w:rsidRPr="0015312C" w:rsidRDefault="00D87ABD" w:rsidP="005A08BF">
            <w:pPr>
              <w:jc w:val="center"/>
              <w:rPr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(6)</w:t>
            </w:r>
          </w:p>
        </w:tc>
        <w:tc>
          <w:tcPr>
            <w:tcW w:w="112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87ABD" w:rsidRPr="0015312C" w:rsidRDefault="00D87ABD" w:rsidP="005A08BF">
            <w:pPr>
              <w:jc w:val="center"/>
              <w:rPr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(7=5+6)</w:t>
            </w:r>
          </w:p>
        </w:tc>
        <w:tc>
          <w:tcPr>
            <w:tcW w:w="1039" w:type="dxa"/>
          </w:tcPr>
          <w:p w:rsidR="00D87ABD" w:rsidRPr="0015312C" w:rsidRDefault="00D87ABD" w:rsidP="005A08BF">
            <w:pPr>
              <w:jc w:val="center"/>
              <w:rPr>
                <w:sz w:val="16"/>
                <w:szCs w:val="16"/>
              </w:rPr>
            </w:pPr>
            <w:r w:rsidRPr="0015312C">
              <w:rPr>
                <w:rFonts w:ascii="Arial" w:hAnsi="Arial" w:cs="Arial"/>
                <w:bCs/>
                <w:sz w:val="16"/>
                <w:szCs w:val="16"/>
              </w:rPr>
              <w:t>(8=4x7)</w:t>
            </w:r>
          </w:p>
        </w:tc>
      </w:tr>
      <w:tr w:rsidR="00D87ABD" w:rsidRPr="0015312C" w:rsidTr="00676D24">
        <w:tc>
          <w:tcPr>
            <w:tcW w:w="47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4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88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26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4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34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2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39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87ABD" w:rsidRPr="0015312C" w:rsidTr="00676D24">
        <w:tc>
          <w:tcPr>
            <w:tcW w:w="47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4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688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26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4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34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2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39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</w:tr>
      <w:tr w:rsidR="00D87ABD" w:rsidRPr="0015312C" w:rsidTr="00676D24">
        <w:tc>
          <w:tcPr>
            <w:tcW w:w="47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94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  <w:r w:rsidRPr="0015312C">
              <w:rPr>
                <w:rFonts w:ascii="Arial" w:hAnsi="Arial" w:cs="Arial"/>
                <w:bCs/>
                <w:sz w:val="20"/>
              </w:rPr>
              <w:t>Total</w:t>
            </w:r>
          </w:p>
        </w:tc>
        <w:tc>
          <w:tcPr>
            <w:tcW w:w="688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726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540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2034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121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039" w:type="dxa"/>
          </w:tcPr>
          <w:p w:rsidR="00D87ABD" w:rsidRPr="0015312C" w:rsidRDefault="00D87ABD" w:rsidP="005A08BF">
            <w:pPr>
              <w:rPr>
                <w:rFonts w:ascii="Arial" w:hAnsi="Arial" w:cs="Arial"/>
                <w:bCs/>
                <w:sz w:val="20"/>
              </w:rPr>
            </w:pPr>
          </w:p>
        </w:tc>
      </w:tr>
    </w:tbl>
    <w:p w:rsidR="00D87ABD" w:rsidRPr="004C594B" w:rsidRDefault="00D87ABD" w:rsidP="00D87ABD">
      <w:pPr>
        <w:jc w:val="both"/>
        <w:rPr>
          <w:rFonts w:ascii="Arial" w:hAnsi="Arial" w:cs="Arial"/>
          <w:bCs/>
          <w:sz w:val="20"/>
        </w:rPr>
      </w:pPr>
    </w:p>
    <w:p w:rsidR="00D87ABD" w:rsidRPr="004C594B" w:rsidRDefault="00D87ABD" w:rsidP="00D87ABD">
      <w:pPr>
        <w:jc w:val="both"/>
        <w:rPr>
          <w:rFonts w:ascii="Arial" w:hAnsi="Arial" w:cs="Arial"/>
          <w:bCs/>
          <w:sz w:val="20"/>
          <w:u w:val="single"/>
        </w:rPr>
      </w:pPr>
      <w:r w:rsidRPr="004C594B">
        <w:rPr>
          <w:rFonts w:ascii="Arial" w:hAnsi="Arial" w:cs="Arial"/>
          <w:bCs/>
          <w:sz w:val="20"/>
        </w:rPr>
        <w:t xml:space="preserve">Note: </w:t>
      </w:r>
      <w:r w:rsidRPr="004C594B">
        <w:rPr>
          <w:rFonts w:ascii="Arial" w:hAnsi="Arial" w:cs="Arial"/>
          <w:bCs/>
          <w:sz w:val="20"/>
          <w:u w:val="single"/>
        </w:rPr>
        <w:t xml:space="preserve">   </w:t>
      </w:r>
    </w:p>
    <w:p w:rsidR="00D87ABD" w:rsidRPr="004C594B" w:rsidRDefault="00D87ABD" w:rsidP="00D87ABD">
      <w:pPr>
        <w:jc w:val="both"/>
        <w:rPr>
          <w:rFonts w:ascii="Arial" w:hAnsi="Arial" w:cs="Arial"/>
          <w:bCs/>
          <w:sz w:val="20"/>
        </w:rPr>
      </w:pPr>
    </w:p>
    <w:p w:rsidR="00D87ABD" w:rsidRPr="004C594B" w:rsidRDefault="00D87ABD" w:rsidP="00D87ABD">
      <w:pPr>
        <w:numPr>
          <w:ilvl w:val="0"/>
          <w:numId w:val="1"/>
        </w:numPr>
        <w:tabs>
          <w:tab w:val="clear" w:pos="6120"/>
          <w:tab w:val="num" w:pos="360"/>
        </w:tabs>
        <w:ind w:left="360" w:hanging="360"/>
        <w:jc w:val="both"/>
        <w:rPr>
          <w:rFonts w:ascii="Arial" w:hAnsi="Arial" w:cs="Arial"/>
          <w:bCs/>
          <w:sz w:val="20"/>
        </w:rPr>
      </w:pPr>
      <w:r w:rsidRPr="004C594B">
        <w:rPr>
          <w:rFonts w:ascii="Arial" w:hAnsi="Arial" w:cs="Arial"/>
          <w:bCs/>
          <w:sz w:val="20"/>
        </w:rPr>
        <w:t xml:space="preserve">Vendors shall quote the rate and amount excluding registration and stamp duty charges for execution of lease agreement. Registration and Stamp Duty charges will be shared equally by the </w:t>
      </w:r>
      <w:proofErr w:type="spellStart"/>
      <w:r w:rsidRPr="004C594B">
        <w:rPr>
          <w:rFonts w:ascii="Arial" w:hAnsi="Arial" w:cs="Arial"/>
          <w:bCs/>
          <w:sz w:val="20"/>
        </w:rPr>
        <w:t>Lessor</w:t>
      </w:r>
      <w:proofErr w:type="spellEnd"/>
      <w:r w:rsidRPr="004C594B">
        <w:rPr>
          <w:rFonts w:ascii="Arial" w:hAnsi="Arial" w:cs="Arial"/>
          <w:bCs/>
          <w:sz w:val="20"/>
        </w:rPr>
        <w:t xml:space="preserve"> and the Lessee (50:50).</w:t>
      </w:r>
    </w:p>
    <w:p w:rsidR="00D87ABD" w:rsidRPr="004C594B" w:rsidRDefault="00D87ABD" w:rsidP="00D87ABD">
      <w:pPr>
        <w:jc w:val="both"/>
        <w:rPr>
          <w:rFonts w:ascii="Arial" w:hAnsi="Arial" w:cs="Arial"/>
          <w:bCs/>
          <w:sz w:val="12"/>
          <w:szCs w:val="12"/>
        </w:rPr>
      </w:pPr>
    </w:p>
    <w:p w:rsidR="00D87ABD" w:rsidRPr="004C594B" w:rsidRDefault="00D87ABD" w:rsidP="00D87ABD">
      <w:pPr>
        <w:numPr>
          <w:ilvl w:val="0"/>
          <w:numId w:val="1"/>
        </w:numPr>
        <w:tabs>
          <w:tab w:val="clear" w:pos="6120"/>
          <w:tab w:val="num" w:pos="360"/>
        </w:tabs>
        <w:ind w:left="360" w:hanging="360"/>
        <w:jc w:val="both"/>
        <w:rPr>
          <w:rFonts w:ascii="Arial" w:hAnsi="Arial" w:cs="Arial"/>
          <w:bCs/>
          <w:sz w:val="20"/>
        </w:rPr>
      </w:pPr>
      <w:r w:rsidRPr="004C594B">
        <w:rPr>
          <w:rFonts w:ascii="Arial" w:hAnsi="Arial" w:cs="Arial"/>
          <w:bCs/>
          <w:sz w:val="20"/>
        </w:rPr>
        <w:t xml:space="preserve">Carpet area rate: The carpet area rate shall be inclusive of basic rent plus all proportionate statutory charges (i.e. all taxes/ </w:t>
      </w:r>
      <w:proofErr w:type="spellStart"/>
      <w:r w:rsidRPr="004C594B">
        <w:rPr>
          <w:rFonts w:ascii="Arial" w:hAnsi="Arial" w:cs="Arial"/>
          <w:bCs/>
          <w:sz w:val="20"/>
        </w:rPr>
        <w:t>cess</w:t>
      </w:r>
      <w:proofErr w:type="spellEnd"/>
      <w:r w:rsidRPr="004C594B">
        <w:rPr>
          <w:rFonts w:ascii="Arial" w:hAnsi="Arial" w:cs="Arial"/>
          <w:bCs/>
          <w:sz w:val="20"/>
        </w:rPr>
        <w:t xml:space="preserve"> present and future – Hous</w:t>
      </w:r>
      <w:r w:rsidR="009E05B8">
        <w:rPr>
          <w:rFonts w:ascii="Arial" w:hAnsi="Arial" w:cs="Arial"/>
          <w:bCs/>
          <w:sz w:val="20"/>
        </w:rPr>
        <w:t>e tax, Property tax,</w:t>
      </w:r>
      <w:r w:rsidRPr="004C594B">
        <w:rPr>
          <w:rFonts w:ascii="Arial" w:hAnsi="Arial" w:cs="Arial"/>
          <w:bCs/>
          <w:sz w:val="20"/>
        </w:rPr>
        <w:t xml:space="preserve"> Municipal taxes etc.) Maintenance charges and Service charges like Society charges etc. The rent will be paid from the date of taking </w:t>
      </w:r>
      <w:r w:rsidR="0076180F" w:rsidRPr="004C594B">
        <w:rPr>
          <w:rFonts w:ascii="Arial" w:hAnsi="Arial" w:cs="Arial"/>
          <w:bCs/>
          <w:sz w:val="20"/>
        </w:rPr>
        <w:t>possession of</w:t>
      </w:r>
      <w:r w:rsidRPr="004C594B">
        <w:rPr>
          <w:rFonts w:ascii="Arial" w:hAnsi="Arial" w:cs="Arial"/>
          <w:bCs/>
          <w:sz w:val="20"/>
        </w:rPr>
        <w:t xml:space="preserve"> the premises. Nothing extra will be paid other than the monthly lease rent. Lease rent is payable in advance before 7</w:t>
      </w:r>
      <w:r w:rsidRPr="004C594B">
        <w:rPr>
          <w:rFonts w:ascii="Arial" w:hAnsi="Arial" w:cs="Arial"/>
          <w:bCs/>
          <w:sz w:val="20"/>
          <w:vertAlign w:val="superscript"/>
        </w:rPr>
        <w:t>th</w:t>
      </w:r>
      <w:r w:rsidRPr="004C594B">
        <w:rPr>
          <w:rFonts w:ascii="Arial" w:hAnsi="Arial" w:cs="Arial"/>
          <w:bCs/>
          <w:sz w:val="20"/>
        </w:rPr>
        <w:t xml:space="preserve"> of every month.  </w:t>
      </w:r>
    </w:p>
    <w:p w:rsidR="00D87ABD" w:rsidRPr="004C594B" w:rsidRDefault="00D87ABD" w:rsidP="00D87ABD">
      <w:pPr>
        <w:jc w:val="both"/>
        <w:rPr>
          <w:rFonts w:ascii="Arial" w:hAnsi="Arial" w:cs="Arial"/>
          <w:bCs/>
          <w:sz w:val="12"/>
          <w:szCs w:val="12"/>
        </w:rPr>
      </w:pPr>
    </w:p>
    <w:p w:rsidR="00D87ABD" w:rsidRPr="004C594B" w:rsidRDefault="00D87ABD" w:rsidP="00D87ABD">
      <w:pPr>
        <w:numPr>
          <w:ilvl w:val="0"/>
          <w:numId w:val="1"/>
        </w:numPr>
        <w:tabs>
          <w:tab w:val="clear" w:pos="6120"/>
          <w:tab w:val="num" w:pos="360"/>
        </w:tabs>
        <w:ind w:left="360" w:hanging="360"/>
        <w:jc w:val="both"/>
        <w:rPr>
          <w:rFonts w:ascii="Arial" w:hAnsi="Arial" w:cs="Arial"/>
          <w:bCs/>
          <w:sz w:val="20"/>
        </w:rPr>
      </w:pPr>
      <w:r w:rsidRPr="004C594B">
        <w:rPr>
          <w:rFonts w:ascii="Arial" w:hAnsi="Arial" w:cs="Arial"/>
          <w:bCs/>
          <w:sz w:val="20"/>
        </w:rPr>
        <w:t>Carpet area measurements: The carpet area measurements shall be as per Bureau of Indian Standards IS No.3861:2002. Joint measurements will be taken in the presence of LIC official and vendor / authorized representative for finalizing the carpet area.</w:t>
      </w:r>
    </w:p>
    <w:p w:rsidR="00D87ABD" w:rsidRPr="004C594B" w:rsidRDefault="00D87ABD" w:rsidP="00D87ABD">
      <w:pPr>
        <w:jc w:val="both"/>
        <w:rPr>
          <w:rFonts w:ascii="Arial" w:hAnsi="Arial" w:cs="Arial"/>
          <w:bCs/>
          <w:sz w:val="12"/>
          <w:szCs w:val="12"/>
        </w:rPr>
      </w:pPr>
    </w:p>
    <w:p w:rsidR="00D87ABD" w:rsidRPr="00676D24" w:rsidRDefault="00D87ABD" w:rsidP="00D87ABD">
      <w:pPr>
        <w:numPr>
          <w:ilvl w:val="0"/>
          <w:numId w:val="1"/>
        </w:numPr>
        <w:tabs>
          <w:tab w:val="clear" w:pos="6120"/>
          <w:tab w:val="num" w:pos="360"/>
        </w:tabs>
        <w:ind w:left="360" w:hanging="360"/>
        <w:jc w:val="both"/>
        <w:rPr>
          <w:rFonts w:ascii="Arial" w:hAnsi="Arial" w:cs="Arial"/>
          <w:bCs/>
          <w:sz w:val="20"/>
        </w:rPr>
      </w:pPr>
      <w:r w:rsidRPr="00676D24">
        <w:rPr>
          <w:rFonts w:ascii="Arial" w:hAnsi="Arial" w:cs="Arial"/>
          <w:bCs/>
          <w:sz w:val="20"/>
        </w:rPr>
        <w:t xml:space="preserve">Validity of offer: The offer should remain valid at least for a period of 3 (three) months to be reckoned from the date of opening of ‘Technical Bid’.    </w:t>
      </w:r>
    </w:p>
    <w:p w:rsidR="00D87ABD" w:rsidRPr="004C594B" w:rsidRDefault="00D87ABD" w:rsidP="00D87ABD">
      <w:pPr>
        <w:jc w:val="both"/>
        <w:rPr>
          <w:rFonts w:ascii="Arial" w:hAnsi="Arial" w:cs="Arial"/>
          <w:bCs/>
          <w:sz w:val="20"/>
        </w:rPr>
      </w:pPr>
      <w:r w:rsidRPr="004C594B">
        <w:rPr>
          <w:rFonts w:ascii="Arial" w:hAnsi="Arial" w:cs="Arial"/>
          <w:bCs/>
          <w:sz w:val="20"/>
        </w:rPr>
        <w:tab/>
      </w:r>
      <w:r w:rsidRPr="004C594B">
        <w:rPr>
          <w:rFonts w:ascii="Arial" w:hAnsi="Arial" w:cs="Arial"/>
          <w:bCs/>
          <w:sz w:val="20"/>
        </w:rPr>
        <w:tab/>
      </w:r>
      <w:r w:rsidRPr="004C594B">
        <w:rPr>
          <w:rFonts w:ascii="Arial" w:hAnsi="Arial" w:cs="Arial"/>
          <w:bCs/>
          <w:sz w:val="20"/>
        </w:rPr>
        <w:tab/>
      </w:r>
      <w:r w:rsidRPr="004C594B">
        <w:rPr>
          <w:rFonts w:ascii="Arial" w:hAnsi="Arial" w:cs="Arial"/>
          <w:bCs/>
          <w:sz w:val="20"/>
        </w:rPr>
        <w:tab/>
        <w:t xml:space="preserve">        </w:t>
      </w:r>
    </w:p>
    <w:p w:rsidR="00D87ABD" w:rsidRPr="004C594B" w:rsidRDefault="00D87ABD" w:rsidP="00D87ABD">
      <w:pPr>
        <w:jc w:val="right"/>
        <w:rPr>
          <w:rFonts w:ascii="Arial" w:hAnsi="Arial" w:cs="Arial"/>
          <w:bCs/>
          <w:sz w:val="20"/>
        </w:rPr>
      </w:pPr>
    </w:p>
    <w:p w:rsidR="00D87ABD" w:rsidRPr="004C594B" w:rsidRDefault="00D87ABD" w:rsidP="00D87ABD">
      <w:pPr>
        <w:jc w:val="right"/>
        <w:rPr>
          <w:rFonts w:ascii="Arial" w:hAnsi="Arial" w:cs="Arial"/>
          <w:bCs/>
          <w:sz w:val="20"/>
        </w:rPr>
      </w:pPr>
    </w:p>
    <w:p w:rsidR="00D87ABD" w:rsidRPr="004C594B" w:rsidRDefault="00D87ABD" w:rsidP="00D87ABD">
      <w:pPr>
        <w:ind w:left="4320" w:firstLine="720"/>
        <w:jc w:val="center"/>
        <w:rPr>
          <w:rFonts w:ascii="Arial" w:hAnsi="Arial"/>
          <w:bCs/>
          <w:sz w:val="20"/>
        </w:rPr>
      </w:pPr>
      <w:proofErr w:type="gramStart"/>
      <w:r w:rsidRPr="004C594B">
        <w:rPr>
          <w:rFonts w:ascii="Arial" w:hAnsi="Arial" w:cs="Arial"/>
          <w:bCs/>
          <w:sz w:val="20"/>
        </w:rPr>
        <w:t>Signature of vendor with seal.</w:t>
      </w:r>
      <w:proofErr w:type="gramEnd"/>
    </w:p>
    <w:p w:rsidR="00D87ABD" w:rsidRPr="004C594B" w:rsidRDefault="00D87ABD" w:rsidP="00D87ABD">
      <w:pPr>
        <w:jc w:val="both"/>
        <w:rPr>
          <w:rFonts w:ascii="Arial" w:hAnsi="Arial" w:cs="Arial"/>
          <w:bCs/>
          <w:sz w:val="20"/>
          <w:u w:val="single"/>
        </w:rPr>
      </w:pPr>
    </w:p>
    <w:p w:rsidR="00D87ABD" w:rsidRDefault="00D87ABD" w:rsidP="00D87ABD">
      <w:pPr>
        <w:jc w:val="both"/>
        <w:rPr>
          <w:rFonts w:ascii="Arial" w:hAnsi="Arial" w:cs="Arial"/>
          <w:bCs/>
          <w:sz w:val="20"/>
        </w:rPr>
      </w:pPr>
      <w:proofErr w:type="gramStart"/>
      <w:r w:rsidRPr="004C594B">
        <w:rPr>
          <w:rFonts w:ascii="Arial" w:hAnsi="Arial" w:cs="Arial"/>
          <w:bCs/>
          <w:sz w:val="20"/>
        </w:rPr>
        <w:t>Date :</w:t>
      </w:r>
      <w:proofErr w:type="gramEnd"/>
      <w:r w:rsidRPr="004C594B">
        <w:rPr>
          <w:rFonts w:ascii="Arial" w:hAnsi="Arial" w:cs="Arial"/>
          <w:bCs/>
          <w:sz w:val="20"/>
        </w:rPr>
        <w:t xml:space="preserve"> …………………</w:t>
      </w:r>
    </w:p>
    <w:p w:rsidR="00676D24" w:rsidRPr="004C594B" w:rsidRDefault="00676D24" w:rsidP="00D87ABD">
      <w:pPr>
        <w:jc w:val="both"/>
        <w:rPr>
          <w:rFonts w:ascii="Arial" w:hAnsi="Arial" w:cs="Arial"/>
          <w:bCs/>
          <w:sz w:val="20"/>
        </w:rPr>
      </w:pPr>
    </w:p>
    <w:p w:rsidR="00AB0657" w:rsidRDefault="00D87ABD" w:rsidP="00676D24">
      <w:pPr>
        <w:jc w:val="both"/>
      </w:pPr>
      <w:r w:rsidRPr="004C594B">
        <w:rPr>
          <w:rFonts w:ascii="Arial" w:hAnsi="Arial" w:cs="Arial"/>
          <w:bCs/>
          <w:sz w:val="20"/>
        </w:rPr>
        <w:t>Place:</w:t>
      </w:r>
      <w:r w:rsidR="00676D24">
        <w:rPr>
          <w:rFonts w:ascii="Arial" w:hAnsi="Arial" w:cs="Arial"/>
          <w:bCs/>
          <w:sz w:val="20"/>
        </w:rPr>
        <w:t xml:space="preserve"> ………………..</w:t>
      </w:r>
    </w:p>
    <w:sectPr w:rsidR="00AB0657" w:rsidSect="00676D24">
      <w:pgSz w:w="12240" w:h="15840"/>
      <w:pgMar w:top="9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A1867"/>
    <w:multiLevelType w:val="hybridMultilevel"/>
    <w:tmpl w:val="D854C16A"/>
    <w:lvl w:ilvl="0" w:tplc="ACF83870">
      <w:start w:val="1"/>
      <w:numFmt w:val="decimal"/>
      <w:lvlText w:val="%1."/>
      <w:lvlJc w:val="left"/>
      <w:pPr>
        <w:tabs>
          <w:tab w:val="num" w:pos="6120"/>
        </w:tabs>
        <w:ind w:left="6120" w:hanging="72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7ABD"/>
    <w:rsid w:val="000124DC"/>
    <w:rsid w:val="00066221"/>
    <w:rsid w:val="00116041"/>
    <w:rsid w:val="001F0BA7"/>
    <w:rsid w:val="00274F00"/>
    <w:rsid w:val="003860FF"/>
    <w:rsid w:val="00481A55"/>
    <w:rsid w:val="005B6D0B"/>
    <w:rsid w:val="00676D24"/>
    <w:rsid w:val="007160EC"/>
    <w:rsid w:val="00753269"/>
    <w:rsid w:val="0076180F"/>
    <w:rsid w:val="0078695E"/>
    <w:rsid w:val="00861625"/>
    <w:rsid w:val="0094157F"/>
    <w:rsid w:val="009E05B8"/>
    <w:rsid w:val="009F790B"/>
    <w:rsid w:val="00AB0657"/>
    <w:rsid w:val="00B32C2B"/>
    <w:rsid w:val="00D67656"/>
    <w:rsid w:val="00D87ABD"/>
    <w:rsid w:val="00D90366"/>
    <w:rsid w:val="00EF4C8D"/>
    <w:rsid w:val="00FA59D1"/>
    <w:rsid w:val="00FF3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A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hi-IN"/>
    </w:rPr>
  </w:style>
  <w:style w:type="paragraph" w:styleId="Heading4">
    <w:name w:val="heading 4"/>
    <w:basedOn w:val="Normal"/>
    <w:next w:val="Normal"/>
    <w:link w:val="Heading4Char"/>
    <w:qFormat/>
    <w:rsid w:val="00D87ABD"/>
    <w:pPr>
      <w:keepNext/>
      <w:ind w:firstLine="720"/>
      <w:jc w:val="both"/>
      <w:outlineLvl w:val="3"/>
    </w:pPr>
    <w:rPr>
      <w:b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D87ABD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uiPriority w:val="1"/>
    <w:qFormat/>
    <w:rsid w:val="00FA59D1"/>
    <w:pPr>
      <w:spacing w:after="0" w:line="240" w:lineRule="auto"/>
    </w:pPr>
  </w:style>
  <w:style w:type="table" w:styleId="TableGrid">
    <w:name w:val="Table Grid"/>
    <w:basedOn w:val="TableNormal"/>
    <w:uiPriority w:val="59"/>
    <w:rsid w:val="00FA59D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59D1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9D1"/>
    <w:rPr>
      <w:rFonts w:ascii="Tahoma" w:eastAsia="Times New Roman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estates.bangalore-do</dc:creator>
  <cp:lastModifiedBy>preeta.saxena</cp:lastModifiedBy>
  <cp:revision>7</cp:revision>
  <cp:lastPrinted>2026-01-20T12:50:00Z</cp:lastPrinted>
  <dcterms:created xsi:type="dcterms:W3CDTF">2018-08-18T05:13:00Z</dcterms:created>
  <dcterms:modified xsi:type="dcterms:W3CDTF">2026-01-20T12:50:00Z</dcterms:modified>
</cp:coreProperties>
</file>